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291</w:t>
      </w:r>
    </w:p>
    <w:p>
      <w:r>
        <w:t>Bundesgericht (BGE), 2006-11-03, DE</w:t>
      </w:r>
    </w:p>
    <w:p>
      <w:r>
        <w:rPr>
          <w:b/>
        </w:rPr>
        <w:t xml:space="preserve">Quelle: </w:t>
      </w:r>
      <w:r>
        <w:t>https://mcp.opencaselaw.ch/entscheid/bge_132 I 291</w:t>
      </w:r>
    </w:p>
    <w:p>
      <w:r>
        <w:t>FR: ATF 132 I 291</w:t>
      </w:r>
    </w:p>
    <w:p>
      <w:r>
        <w:t>IT: DTF 132 I 291</w:t>
      </w:r>
    </w:p>
    <w:p>
      <w:pPr>
        <w:pStyle w:val="Heading2"/>
      </w:pPr>
      <w:r>
        <w:t>Regeste</w:t>
      </w:r>
    </w:p>
    <w:p>
      <w:r>
        <w:t>Regeste Zulässigkeit von Abänderungsanträgen anlässlich der Landsgemeinde; Art. 65 KV/GL, Art. 34 BV. Regelung der Verhandlungen der Landsgemeinde durch die Glarner Kantonsverfassung; Zulässigkeit von Abänderungsanträgen der Stimmberechtigten (E. 4.1). Der umstrittene Abänderungsantrag steht in einem sachlichen Zusammenhang mit der Vorlage des Landrates und ist zulässig (E. 4.2).</w:t>
      </w:r>
    </w:p>
    <w:p>
      <w:pPr>
        <w:pStyle w:val="Heading2"/>
      </w:pPr>
      <w:r>
        <w:t>Erwägungen</w:t>
      </w:r>
    </w:p>
    <w:p>
      <w:r>
        <w:rPr>
          <w:b/>
        </w:rPr>
        <w:t>E. 2</w:t>
      </w:r>
    </w:p>
    <w:p>
      <w:r>
        <w:t>Jeder stimmberechtigte Teilnehmer hat das Recht, zu den Sachvorlagen Anträge auf Unterstützung, Abänderung, Ablehnung, Verschiebung oder Rückweisung zu stellen.</w:t>
      </w:r>
    </w:p>
    <w:p>
      <w:r>
        <w:rPr>
          <w:b/>
        </w:rPr>
        <w:t>E. 3</w:t>
      </w:r>
    </w:p>
    <w:p>
      <w:r>
        <w:t>Abänderungsanträge müssen zum Beratungsgegenstand in einem sachlichen Zusammenhang stehen.</w:t>
      </w:r>
    </w:p>
    <w:p>
      <w:r>
        <w:rPr>
          <w:b/>
        </w:rPr>
        <w:t>E. 4</w:t>
      </w:r>
    </w:p>
    <w:p>
      <w:r>
        <w:t>(...)</w:t>
      </w:r>
    </w:p>
    <w:p>
      <w:r>
        <w:rPr>
          <w:b/>
        </w:rPr>
        <w:t>E. 4.1</w:t>
      </w:r>
    </w:p>
    <w:p>
      <w:r>
        <w:t>Die Grundlage für die Verhandlungen der Landsgemeinde bilden die im Memorial veröffentlichten Vorlagen des Landrates; diese Vorlagen beschränken den Gegenstand für die Verhandlungen der Landsgemeinde, und andere Gegenstände dürfen nicht beraten werden ( Art. 65 Abs. 1 KV/GL ). Im Rahmen der derart vorgezeichneten Verhandlungsgegenstände darf jeder stimmberechtigte Teilnehmer namentlich Abänderungsanträge stellen; Abänderungsanträge müssen indes zum Beratungsgegenstand in einem sachlichen Zusammenhang stehen ( Art. 65 Abs. 2 und 3 KV/GL ). Dieses Antragsrecht stellt ein durch den Beratungsgegenstand beschränktes, bedingtes und für die Glarner Landsgemeinde typisches BGE 132 I 291 S. 294 Initiativrecht dar (vgl. RAINER J. SCHWEIZER, Kommentar zum Entwurf der Verfassung des Kantons Glarus, Bd. I, S. 208 und 212). Die sachliche Beschränkung des Antragsrechts weist Ähnlichkeiten auf mit der so genannten Einheit der Materie in einem weitern Sinne, welche die Zulässigkeit von Gegenvorschlägen zu Volksinitiativen begrenzt (vgl. BGE 113 Ia 46 E. 5a S. 54), darf indes mit dieser nicht gleichgesetzt werden. Im Rahmen der Vorarbeiten zur Kantonsverfassung wurde darauf hingewiesen, dass Abänderungsanträge und ihre Konsequenzen bisweilen schwierig zu beurteilen sind, dass die Beschränkung des Antragsrechts gemäss Art. 65 Abs. 3 KV/GL aber nicht allzu engherzig angewendet werden dürfe (SCHWEIZER, a.a.O., S. 180, 209 und 212). Das Recht, Abänderungsanträge zu stellen, hat zur Folge, dass die Stimmberechtigten, anders als bei einer Urnenabstimmung, eine Vorlage nicht nur annehmen oder verwerfen können, sondern gestaltend auf eine Vorlage einwirken können. Dies stellt gerade den Sinn der Versammlungsdemokratie und ihr "demokratischer Mehrwert" gegenüber der Urnendemokratie dar. Die Stimmberechtigten haben mit Abänderungsanträgen an der Versammlung zu rechnen (Urteil 1P.250/2006 / 1P.264/2006 vom 31. August 2006, E. 4.3).</w:t>
      </w:r>
    </w:p>
    <w:p>
      <w:r>
        <w:rPr>
          <w:b/>
        </w:rPr>
        <w:t>E. 4.2</w:t>
      </w:r>
    </w:p>
    <w:p>
      <w:r>
        <w:t>Ausgangspunkt des umstrittenen Landsgemeindebeschlusses bildete der Antrag des Landrates auf Änderung der Kantonsverfassung im Hinblick auf die Zusammenlegung der neu gebildeten Einheitsgemeinden. Nachdem der Landrat die Bildung von zehn Einheitsgemeinden vorschlug, stand deren Anzahl zur Diskussion. Es wurden denn auch Abänderungsanträge von Hansjörg Marti auf Bildung von sieben Einheitsgemeinden (unter Zusammenlegung von Mollis und Näfels einerseits und von Netstal, Glarus, Riedern und Ennenda andererseits) gestellt und zugelassen (vgl. Protokoll der Landsgemeinde S. 16). Umgekehrt wären auch Anträge zulässig gewesen, die eine höhere Anzahl von Einheitsgemeinden als die vom Landrat vorgeschlagene verlangt hätten. Damit ist, wie das Verwaltungsgericht festgestellt hat, der erforderliche Sachzusammenhang des Antrags von Kurt Reifler in formeller Hinsicht klar zu bejahen. Auch in materieller Hinsicht kann nicht gesagt werden, dass der Antrag von Kurt Reifler gegenüber der Vorlage des Landrates etwas gänzlich Neues verlangt hätte. Die Traktanden § 12 und 13 waren von vornherein auf eine Änderung der Gemeindestrukturen von weitreichender grundsätzlicher Bedeutung ausgerichtet. Es war BGE 132 I 291 S. 295 nicht nur die Bildung von Einheitsgemeinden (anstelle der Ortsgemeinden, Tagwen, Schulgemeinden und Fürsorgegemeinden) vorgeschlagen, sondern auch eine radikale Verkleinerung der Anzahl der 25 Einheitsgemeinden beantragt worden. Wie dargetan, stand nicht nur ein Modell mit zehn Einheitsgemeinden, sondern auch ein solches mit sieben zur Diskussion. Im Vergleich mit diesen Anträgen stellt der Antrag von Kurt Reifler nicht etwas grundsätzlich Anderes dar. Er verfolgt darüber hinaus keine wesentlich andere Zielrichtung als die behördliche Vorlage und lässt sich mit dem angegebenen Zweck der Reform der Gemeindestrukturen - Stärkung der Gemeinden und Sicherung von deren Überlebens- und Entwicklungsfähigkeit, Vereinfachung der Gemeindestrukturen, Stärkung der finanziellen Basis der Gemeinden, Sicherung von Qualität und Professionalität (vgl. Memorial S. 141-146) - ohne weiteres vereinbaren. Entgegen der Auffassung des Beschwerdeführers kann auch nicht gesagt werden, dass das Modell mit drei Einheitsgemeinden vollkommen unerwartet gestellt worden ist. Wie das Verwaltungsgericht im angefochtenen Urteil dargelegt hat, wurde das Dreier-Modell im Rahmen der Vorarbeiten zur Gemeindestrukturreform diskutiert und im Landrat beraten. Vorgängig der Landsgemeinde war davon in der Presse die Rede. Und im Memorial ist auf das - vom Landrat schliesslich verworfene - Dreier-Modell hingewiesen worden. Im Übrigen liegt es in der Natur einer Gemeindeversammlung oder Landsgemeinde (oben E. 4.1 a.E.), dass mit Überraschungen zu rechnen ist. Schliesslich beanstandet der Beschwerdeführer, dass die stimmberechtigten Teilnehmer nicht über hinreichende Informationen zum Modell mit drei Einheitsgemeinden verfügt hätten. In dieser Hinsicht ist einzuräumen, dass die Konsequenzen eines Zusammenschlusses zu drei Einheitsgemeinden mangels entsprechender Informationen im Memorial nicht in gleicher Weise bekannt waren wie jene des vom Landrat vorgeschlagenen Modells. Angesichts des Antragsrechts aus den Reihen der Stimmberechtigten hat dies für sich genommen nicht die Unzulässigkeit des Antrages von Kurt Reifler zur Folge. Zum einen hätte auch der Antrag auf Zusammenschluss der Gemeinden Mollis und Näfels bzw. Netstal, Glarus, Riedern und Ennenda gewichtige Abweichungen von der Vorlage des Landrates zur Folge gehabt. Zum andern bringt es das Recht auf Abänderungsanträge, soll es nicht seines Sinnes entleert werden, BGE 132 I 291 S. 296 systemimmanent mit sich, dass weniger Ausgereiftes vorgeschlagen und schliesslich auch angenommen wird. Dies verhält sich bei Vorlagen zur Änderung der Kantonsverfassung gleich wie bei Gesetzesvorlagen. Es ist unter dem Gesichtswinkel der politischen Rechte nicht ersichtlich, dass das Antragsrecht bei Verfassungsvorlagen restriktiver zu handhaben wäre als bei Gesetzesvorlagen.</w:t>
      </w:r>
    </w:p>
    <w:p>
      <w:r>
        <w:rPr>
          <w:b/>
        </w:rPr>
        <w:t>E. 4.3</w:t>
      </w:r>
    </w:p>
    <w:p>
      <w:r>
        <w:t>Zusammenfassend ergibt sich, dass der Antrag Reifler keinen "andern Gegenstand" im Sinne von Art. 65 Abs. 1 KV/GL betraf, in einem sachlichen Zusammenhang mit der Vorlage des Landrates gemäss Art. 65 Abs. 3 KV/GL stand und damit als rechtmässiger Abänderungsantrag der Landsgemeinde zur Abstimmung vorgelegt werden durfte. Somit erweist sich die Beschwerde in diesem Punkte als unbegründet. Seite 237 Zeile 1 von unten: l'art. 83 (statt l'art. 183)</w:t>
      </w:r>
    </w:p>
    <w:p>
      <w:r>
        <w:rPr>
          <w:b/>
        </w:rPr>
        <w:t>E. 5</w:t>
      </w:r>
    </w:p>
    <w:p>
      <w:r>
        <w:t>Wer sich zu einer Sachvorlage äussern will, hat zuerst seinen Antrag zu formulieren und ihn danach kurz zu begründen." (...) 4. Zur Hauptsache macht der Beschwerdeführer geltend, der Antrag von Kurt Reifler auf unmittelbare Bildung von drei Einheitsgemeinden stehe mit dem Beratungsgegenstand, wie er nach Art. 65 Abs. 1 KV/GL durch den Antrag des Landrates vorgezeichnet sei, nicht in einem hinreichend sachlichen Zusammenhang gemäss Art. 65 Abs. 3 KV/GL , stelle daher einen unzulässigen "andern Gegenstand" im Sinne von Art. 65 Abs. 1 Satz 2 KV/GL dar, habe zu einer Abstimmung ohne hinreichende Information der Stimmberechtigten geführt und hätte daher als unrechtmässig der Abstimmung nicht unterbreitet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